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70230b27f48c7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Schiebetor dw 62 Teckentrup MST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1flg. Schiebetor dw 62 Teckentrup MST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24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hyperlink xmlns:r="http://schemas.openxmlformats.org/officeDocument/2006/relationships" r:id="Rca897a0582464d98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dw 62 "Teckentrup 62 MST"</w:t>
        </w:r>
      </w:hyperlink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4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Feuerschutz-Schiebetor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Stahl-Feuerschutz-Schiebetor 62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MST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, 1-flg.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Feuerschutzabschluss für den Einsatz im Innenbereich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Gewerbebau, Verwaltungsbau, Krankenhausbau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Zugelassener Größenbereich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: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Breite: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500 - 8.500 mm (&gt; auf Anfrage)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Höhe: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1.500 - 6.000 mm (&gt; auf Anfrage)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Lichtes Maß (B x H mm):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Breite und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Höhe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Material/Oberfläche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Stahl verzinkt,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Grundierung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Grundierung (ähnlich RAL 9002)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(RAL)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(TT)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(NCS)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Edelstahl 1.4301 (V2A)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Edelstahl 1.4571 (V4A)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Torausführung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Torzulauf stirnseitig ohne Einlaufprofil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(Größenbereich: Bis lichte Breite 4620 mm, lichte Höhe 5250 mm)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Torzubehör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Nischenklappe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(Nischenmaß min. 260 mm. Zulässige Klappenlänge 4500 mm)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einseitig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beidseitig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zeitversetzte Steuerung inkl. Netzgleichrichter, Akkupufferung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(bei Einsatz von Nischenklappen/Deckenklappe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Deckenklappe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(Nur in Verbindung mit Nischenklappe, Nischenmaß min. 300 mm.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Zulässige Klappenlänge 4500 mm)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Hakenfallenschloss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Riegelkontakt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Optischer/akustischer Torsignalgeber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für Paneel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440 x 800 mm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565 x 800 mm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Elementverlängerung um max. 94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(Verlängerungen der Elemente sind nur ohne Schlupftür möglich).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Schlupftür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Schlupftür ohne Schwelle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Bänder, Obentürschließer mit Gleitschiene, Drückergarnitur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Antipanikschloss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Umschaltfunktion B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Wechselfunktion 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Durchgangsfunktion D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Magnetkontakt (ohne Spiralkabel)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Spiralkabel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Riegelkontakt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440 x 800 mm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565 x 800 mm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Feststellanlage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Feststellanlage, für Tore ohne Öffnungshilfe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2 Stück Rauchschalter für Deckenmontage, 1 Stück Feststellanlagenzentrale,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Stück Haftmagnet, 1 Stück optischer/akustischer Torsignalgeber)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Blende für Haftmagnet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Rauchschalter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Deckenmontage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120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500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Handauslösetaster, Aufputz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Montage (Sonderausführungen)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Direkte Deckenmontage mit Sturz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Direkte Deckenmontage ohne Sturz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Abgehängte Deckenmontage mit Sturz im Öffnungs- und Abstellbereich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Abgehängte Deckenmontage ohne Sturz im Öffnungs- und Abstellbereich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(max. zulässiger Deckenspalt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208 mm)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Künstlicher Sturz bei direkter Deckenmontage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Künstlicher Anschlag bei Einlaufprofil stirnseitig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( ) Zutreffendes bitte ankreuzen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b722fcc3892f49e6">
        <w:hyperlink r:id="Rb722fcc3892f49e6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18b8b0b478794c1a">
        <w:hyperlink r:id="R18b8b0b478794c1a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c01be865673541f8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ckentrup.biz/feuerschutztore" TargetMode="External" Id="Rca897a0582464d98" /><Relationship Type="http://schemas.openxmlformats.org/officeDocument/2006/relationships/hyperlink" Target="http://www.teckentrup.biz/" TargetMode="External" Id="Rb722fcc3892f49e6" /><Relationship Type="http://schemas.openxmlformats.org/officeDocument/2006/relationships/hyperlink" Target="mailto:info@teckentrup.biz" TargetMode="External" Id="R18b8b0b478794c1a" /><Relationship Type="http://schemas.openxmlformats.org/officeDocument/2006/relationships/header" Target="/word/header1.xml" Id="Rc01be865673541f8" /><Relationship Type="http://schemas.openxmlformats.org/officeDocument/2006/relationships/styles" Target="/word/styles.xml" Id="R05ccac1e1ddf40fc" /></Relationships>
</file>