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ab9b1a53746a2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dw 62-2 "Teckentrup"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Stahltür dw 62-2 "Teckentrup" / "Teckentrup XL"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292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 </w:t>
      </w:r>
      <w:hyperlink xmlns:r="http://schemas.openxmlformats.org/officeDocument/2006/relationships" r:id="R30acf46aa0ac4b0f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dw 62-2</w:t>
        </w:r>
      </w:hyperlink>
    </w:p>
    <w:p>
      <w:pPr>
        <w:keepNext w:val="true"/>
        <w:keepLines w:val="true"/>
        <w:spacing w:before="0" w:after="0" w:line="240"/>
        <w:ind w:left="1040" w:right="292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92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Bsp.: Ausschreibungstext:</w:t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dw 62-2 "Teckentrup" Fabrikat "Teckentrup"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Zweiflügelige Stahltür, doppelwandig Gangflügel DIN rechts.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Flächenbündiges Türblatt ohne Bandprägung.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Türblatt und Zarge verzinkt und grundiert ähnlich RAL 9002 (Grauweiß),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62 mm dick, 3-seitig gefälzt. Blechdicke 1,0 mm. Eckzarge 1,5/2,0 mm dick,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dreiseitiger Dichtung. Gangflügel mit Einsteckwechselschloss nach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DIN 18250, pz-gelocht. Kunststoff-Drückergarnitur schwarz, Drücker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festdrehbar gelagert mit Buntbart-Einsatz und 1 Bb-Schlüssel.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Standflügel mit verdecktem Türkantriegel.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Je Flg. 1 Sicherungszapfen, 2 Konstruktionsbänder mit Kugellager.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Ausgleichsringe zur Höhenregulierung.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Baurichtmaß (B x H mm):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Breite und 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Höhe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Menge: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dw 62-2 "Teckentrup":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Breite: 1375-3000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Höhe: 1750-3000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Türblatt dw 62-2 "Teckentrup":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Blechdicke 1,0 mm Dünnfalz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Blechdicke 1,5 mm Dünnfalz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Blechdicke 1,0 mm Dickfalz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Blechdicke 1,5 mm Dickfalz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dw 62-2 "Teckentrup XL":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Breite: 1375-3000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Höhe: 3001-4000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Türblatt dw 62-2 "Teckentrup XL":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Blechdicke 1,5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Anschlagart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Gangflügel DIN rechts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Gangflügel DIN links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Normverglasung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(mm):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545 x 345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120 x 800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190 x 800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315 x 800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440 x 800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565 x 800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190 x 1260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315 x 1260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440 x 1260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565 x 1260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Rundverglasung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Stahl-Ring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Ø 300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Ø 400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Ø 500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Edelstahl-Ring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Ø 300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Ø 400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Ø 500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Sonderverglasung: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Breite x Höhe (BxH mm): .......... x ..........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Glas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Drahtglas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VSG (Verbundsicherheitsglas)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Acrylglas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ISO-Glas VSG/VSG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ISO-Glas Drahtglas/VSG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nur Vorrichten für obige Glassorten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Sonderausstattung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Drückergarnituren/Wechselgarnituren: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Kunststoff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Leichtmetall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mit Kurzschild oder Rosette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(verschiedene Fabrikate)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Sonderausstattung Material und Oberfläche: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Edelstahl (1,0 mm Blechdicke)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V2A 1.4301 240er Korn geschliffen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V2A 1.4301 marmoriert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V4A 240er Korn geschliffen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V4A 1.4571 marmoriert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Leinenstruktur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Schlösser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Profilzylinder 40,5 + 40,5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Panikschlösser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Obertürschließer DIN EN 1154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verdecktem Gleitschienen-Türschließer ITS 96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Bodendichtungen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Rechteckige Verglasung (Sondergröße)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Alu-Lüftungsgitter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Stahl-Trafogitter (nur Teckentrup XL)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Oberblende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Oberblende mit Verglasung oder Trafogitter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Alu-Regenleiste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Herstellernachweis: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6fbb4ddbe5cf4a24">
        <w:hyperlink r:id="R6fbb4ddbe5cf4a24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292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867279ae4a5c4298">
        <w:hyperlink r:id="R867279ae4a5c4298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9a7f2a31427f491e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mehrzwecktueren/mehrzwecktuer-dw-62-/-xl" TargetMode="External" Id="R30acf46aa0ac4b0f" /><Relationship Type="http://schemas.openxmlformats.org/officeDocument/2006/relationships/hyperlink" Target="http://www.teckentrup.biz" TargetMode="External" Id="R6fbb4ddbe5cf4a24" /><Relationship Type="http://schemas.openxmlformats.org/officeDocument/2006/relationships/hyperlink" Target="mailto:info@teckentrup.biz" TargetMode="External" Id="R867279ae4a5c4298" /><Relationship Type="http://schemas.openxmlformats.org/officeDocument/2006/relationships/header" Target="/word/header1.xml" Id="R9a7f2a31427f491e" /><Relationship Type="http://schemas.openxmlformats.org/officeDocument/2006/relationships/styles" Target="/word/styles.xml" Id="Rba2dd4fb553b40d6" /></Relationships>
</file>